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DE" w:rsidRPr="00E54BDE" w:rsidRDefault="00E54BDE" w:rsidP="00E54BDE">
      <w:pPr>
        <w:shd w:val="clear" w:color="auto" w:fill="FFFFFF"/>
        <w:spacing w:after="0" w:line="264" w:lineRule="atLeast"/>
        <w:jc w:val="both"/>
        <w:textAlignment w:val="baseline"/>
        <w:outlineLvl w:val="0"/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</w:pPr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 xml:space="preserve">MISE À JOUR DES DONNÉES DU MONDE RÉEL, SUR LES TRAITEMENTS DE SOINS DU COVID-19, AUTRE QUE LES </w:t>
      </w:r>
      <w:r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 xml:space="preserve">soi-disant </w:t>
      </w:r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VACCINS</w:t>
      </w:r>
      <w:r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, qui n’en sont pas</w:t>
      </w:r>
      <w:bookmarkStart w:id="0" w:name="_GoBack"/>
      <w:bookmarkEnd w:id="0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…</w:t>
      </w:r>
      <w:r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 xml:space="preserve">. </w:t>
      </w:r>
      <w:proofErr w:type="spellStart"/>
      <w:r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Ivermectine</w:t>
      </w:r>
      <w:proofErr w:type="spellEnd"/>
      <w:r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 xml:space="preserve"> : Dose : 0,2 mg par kilo, donc, pour un adulte, 12 mg, soit 4 </w:t>
      </w:r>
      <w:proofErr w:type="spellStart"/>
      <w:r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pilulles</w:t>
      </w:r>
      <w:proofErr w:type="spellEnd"/>
      <w:r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 xml:space="preserve"> de 3 mg.</w:t>
      </w:r>
    </w:p>
    <w:p w:rsidR="00E54BDE" w:rsidRPr="00E54BDE" w:rsidRDefault="00E54BDE" w:rsidP="00E54BDE">
      <w:pPr>
        <w:shd w:val="clear" w:color="auto" w:fill="FFFFFF"/>
        <w:spacing w:after="0" w:line="264" w:lineRule="atLeast"/>
        <w:jc w:val="both"/>
        <w:textAlignment w:val="baseline"/>
        <w:outlineLvl w:val="0"/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</w:pPr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 xml:space="preserve">En </w:t>
      </w:r>
      <w:proofErr w:type="spellStart"/>
      <w:proofErr w:type="gramStart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a</w:t>
      </w:r>
      <w:proofErr w:type="spellEnd"/>
      <w:proofErr w:type="gramEnd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 xml:space="preserve"> peine deux mois, nous sommes passés de 689 études à 818 !!</w:t>
      </w:r>
    </w:p>
    <w:p w:rsidR="00E54BDE" w:rsidRPr="00E54BDE" w:rsidRDefault="00E54BDE" w:rsidP="00E54BDE">
      <w:pPr>
        <w:shd w:val="clear" w:color="auto" w:fill="FFFFFF"/>
        <w:spacing w:after="0" w:line="264" w:lineRule="atLeast"/>
        <w:jc w:val="both"/>
        <w:textAlignment w:val="baseline"/>
        <w:outlineLvl w:val="0"/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</w:pPr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 xml:space="preserve">Plus le temps passe et plus la réalité apparaît à travers des enquêtes de plus en plus détaillées, de plus en plus fiables. Ainsi cette synthèse de 818 études mondiales portant sur les traitements précoces contre la </w:t>
      </w:r>
      <w:proofErr w:type="spellStart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covid</w:t>
      </w:r>
      <w:proofErr w:type="spellEnd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 xml:space="preserve"> avec le nombre de leurs effets positifs.</w:t>
      </w:r>
    </w:p>
    <w:p w:rsidR="00E54BDE" w:rsidRPr="00E54BDE" w:rsidRDefault="00E54BDE" w:rsidP="00E54BDE">
      <w:pPr>
        <w:shd w:val="clear" w:color="auto" w:fill="FFFFFF"/>
        <w:spacing w:after="0" w:line="264" w:lineRule="atLeast"/>
        <w:jc w:val="both"/>
        <w:textAlignment w:val="baseline"/>
        <w:outlineLvl w:val="0"/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</w:pPr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Le premier constat, c’est qu’en matière de soins administrés précocement, deux traitements arrivent largement en tête, l’</w:t>
      </w:r>
      <w:proofErr w:type="spellStart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hydroxychloroquine</w:t>
      </w:r>
      <w:proofErr w:type="spellEnd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 xml:space="preserve"> (HCQ) et l’</w:t>
      </w:r>
      <w:proofErr w:type="spellStart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ivermectine</w:t>
      </w:r>
      <w:proofErr w:type="spellEnd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 xml:space="preserve"> (IVM). Chacun des traitements précoces produit des effets positifs variables, mais non négligeables…</w:t>
      </w:r>
    </w:p>
    <w:p w:rsidR="00E54BDE" w:rsidRPr="00E54BDE" w:rsidRDefault="00E54BDE" w:rsidP="00E54BDE">
      <w:pPr>
        <w:shd w:val="clear" w:color="auto" w:fill="FFFFFF"/>
        <w:spacing w:after="0" w:line="264" w:lineRule="atLeast"/>
        <w:jc w:val="both"/>
        <w:textAlignment w:val="baseline"/>
        <w:outlineLvl w:val="0"/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</w:pPr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Le second constat est que les pays dits riches du bloc occidental ont totalement fait l’impasse sur les soins précoces, allant même jusqu’à les interdire…</w:t>
      </w:r>
    </w:p>
    <w:p w:rsidR="00E54BDE" w:rsidRPr="00E54BDE" w:rsidRDefault="00E54BDE" w:rsidP="00E54BDE">
      <w:pPr>
        <w:shd w:val="clear" w:color="auto" w:fill="FFFFFF"/>
        <w:spacing w:after="0" w:line="264" w:lineRule="atLeast"/>
        <w:jc w:val="both"/>
        <w:textAlignment w:val="baseline"/>
        <w:outlineLvl w:val="0"/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</w:pPr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 xml:space="preserve">Est-ce un hasard si ce sont ces pays qui obtiennent les plus mauvais résultats en matière de victimes du </w:t>
      </w:r>
      <w:proofErr w:type="spellStart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covid</w:t>
      </w:r>
      <w:proofErr w:type="spellEnd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 xml:space="preserve"> rapportées aux densités de population </w:t>
      </w:r>
      <w:r w:rsidRPr="00E54BDE">
        <w:rPr>
          <w:rFonts w:ascii="Arial" w:eastAsia="Times New Roman" w:hAnsi="Arial" w:cs="Arial"/>
          <w:noProof/>
          <w:color w:val="2B2B2B"/>
          <w:kern w:val="36"/>
          <w:sz w:val="33"/>
          <w:szCs w:val="33"/>
          <w:lang w:eastAsia="fr-FR"/>
        </w:rPr>
        <mc:AlternateContent>
          <mc:Choice Requires="wps">
            <w:drawing>
              <wp:inline distT="0" distB="0" distL="0" distR="0" wp14:anchorId="22F1C99C" wp14:editId="30D03C84">
                <wp:extent cx="304800" cy="304800"/>
                <wp:effectExtent l="0" t="0" r="0" b="0"/>
                <wp:docPr id="16" name="AutoShape 9" descr="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4u8GZ&#10;wQIAAMU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E54BDE">
        <w:rPr>
          <w:rFonts w:ascii="Arial" w:eastAsia="Times New Roman" w:hAnsi="Arial" w:cs="Arial"/>
          <w:noProof/>
          <w:color w:val="2B2B2B"/>
          <w:kern w:val="36"/>
          <w:sz w:val="33"/>
          <w:szCs w:val="33"/>
          <w:lang w:eastAsia="fr-FR"/>
        </w:rPr>
        <mc:AlternateContent>
          <mc:Choice Requires="wps">
            <w:drawing>
              <wp:inline distT="0" distB="0" distL="0" distR="0" wp14:anchorId="3FAE5B6F" wp14:editId="1EF6961B">
                <wp:extent cx="304800" cy="304800"/>
                <wp:effectExtent l="0" t="0" r="0" b="0"/>
                <wp:docPr id="15" name="AutoShape 10" descr="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JM/&#10;PsT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E54BDE" w:rsidRPr="00E54BDE" w:rsidRDefault="00E54BDE" w:rsidP="00E54BDE">
      <w:pPr>
        <w:shd w:val="clear" w:color="auto" w:fill="FFFFFF"/>
        <w:spacing w:after="0" w:line="264" w:lineRule="atLeast"/>
        <w:jc w:val="both"/>
        <w:textAlignment w:val="baseline"/>
        <w:outlineLvl w:val="0"/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</w:pPr>
      <w:proofErr w:type="gramStart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il</w:t>
      </w:r>
      <w:proofErr w:type="gramEnd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 xml:space="preserve"> y a trois explications possibles à l’opposition des organismes de réglementation de la santé mondiale à l’utilisation d’un médicament hors AMM prometteur et bien toléré tel que l’</w:t>
      </w:r>
      <w:proofErr w:type="spellStart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ivermectine</w:t>
      </w:r>
      <w:proofErr w:type="spellEnd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 xml:space="preserve"> (ou l’</w:t>
      </w:r>
      <w:proofErr w:type="spellStart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hydroxychloroquine</w:t>
      </w:r>
      <w:proofErr w:type="spellEnd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….)</w:t>
      </w:r>
    </w:p>
    <w:p w:rsidR="00E54BDE" w:rsidRPr="00E54BDE" w:rsidRDefault="00E54BDE" w:rsidP="00E54BDE">
      <w:pPr>
        <w:shd w:val="clear" w:color="auto" w:fill="FFFFFF"/>
        <w:spacing w:after="0" w:line="264" w:lineRule="atLeast"/>
        <w:jc w:val="both"/>
        <w:textAlignment w:val="baseline"/>
        <w:outlineLvl w:val="0"/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</w:pPr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Tout d’abord en tant que générique, l’</w:t>
      </w:r>
      <w:proofErr w:type="spellStart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ivermectine</w:t>
      </w:r>
      <w:proofErr w:type="spellEnd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 xml:space="preserve"> est bon marché et largement disponible, ce qui signifie qu’il y aurait beaucoup moins d’argent à gagner par </w:t>
      </w:r>
      <w:proofErr w:type="spellStart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Big</w:t>
      </w:r>
      <w:proofErr w:type="spellEnd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 xml:space="preserve"> Pharma si elle devenait le traitement de premier plan contre la </w:t>
      </w:r>
      <w:proofErr w:type="spellStart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covid</w:t>
      </w:r>
      <w:proofErr w:type="spellEnd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.</w:t>
      </w:r>
    </w:p>
    <w:p w:rsidR="00E54BDE" w:rsidRPr="00E54BDE" w:rsidRDefault="00E54BDE" w:rsidP="00E54BDE">
      <w:pPr>
        <w:shd w:val="clear" w:color="auto" w:fill="FFFFFF"/>
        <w:spacing w:after="0" w:line="264" w:lineRule="atLeast"/>
        <w:jc w:val="both"/>
        <w:textAlignment w:val="baseline"/>
        <w:outlineLvl w:val="0"/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</w:pPr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Après, d’autres sociétés pharmaceutiques (</w:t>
      </w:r>
      <w:proofErr w:type="spellStart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Merck</w:t>
      </w:r>
      <w:proofErr w:type="spellEnd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 xml:space="preserve"> entre autre) développent leurs propres nouveaux traitements pour Covid-19 qui devraient concurrencer directement l’</w:t>
      </w:r>
      <w:proofErr w:type="spellStart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ivermectine</w:t>
      </w:r>
      <w:proofErr w:type="spellEnd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. </w:t>
      </w:r>
      <w:r w:rsidRPr="00E54BDE">
        <w:rPr>
          <w:rFonts w:ascii="Arial" w:eastAsia="Times New Roman" w:hAnsi="Arial" w:cs="Arial"/>
          <w:noProof/>
          <w:color w:val="2B2B2B"/>
          <w:kern w:val="36"/>
          <w:sz w:val="33"/>
          <w:szCs w:val="33"/>
          <w:lang w:eastAsia="fr-FR"/>
        </w:rPr>
        <mc:AlternateContent>
          <mc:Choice Requires="wps">
            <w:drawing>
              <wp:inline distT="0" distB="0" distL="0" distR="0" wp14:anchorId="74E9490C" wp14:editId="34A436E3">
                <wp:extent cx="304800" cy="304800"/>
                <wp:effectExtent l="0" t="0" r="0" b="0"/>
                <wp:docPr id="14" name="AutoShape 11" descr="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+ncVI&#10;wQIAAMY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E54BDE">
        <w:rPr>
          <w:rFonts w:ascii="Arial" w:eastAsia="Times New Roman" w:hAnsi="Arial" w:cs="Arial"/>
          <w:noProof/>
          <w:color w:val="2B2B2B"/>
          <w:kern w:val="36"/>
          <w:sz w:val="33"/>
          <w:szCs w:val="33"/>
          <w:lang w:eastAsia="fr-FR"/>
        </w:rPr>
        <mc:AlternateContent>
          <mc:Choice Requires="wps">
            <w:drawing>
              <wp:inline distT="0" distB="0" distL="0" distR="0" wp14:anchorId="1ADA811A" wp14:editId="4B9785BB">
                <wp:extent cx="304800" cy="304800"/>
                <wp:effectExtent l="0" t="0" r="0" b="0"/>
                <wp:docPr id="13" name="AutoShape 12" descr="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UqHE&#10;PcICAADG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E54BDE" w:rsidRPr="00E54BDE" w:rsidRDefault="00E54BDE" w:rsidP="00E54BDE">
      <w:pPr>
        <w:shd w:val="clear" w:color="auto" w:fill="FFFFFF"/>
        <w:spacing w:after="0" w:line="264" w:lineRule="atLeast"/>
        <w:jc w:val="both"/>
        <w:textAlignment w:val="baseline"/>
        <w:outlineLvl w:val="0"/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</w:pPr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Et surtout, si elle est approuvée comme traitement contre la covid-19, l’</w:t>
      </w:r>
      <w:proofErr w:type="spellStart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ivermectine</w:t>
      </w:r>
      <w:proofErr w:type="spellEnd"/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, l’HCQ et nombreux autres pourraient même menacer l’autorisation d’utilisation d’urgence accordée aux vaccins, quand bien même les contrats passés ne peuvent être suspendu pour une telle raison…</w:t>
      </w:r>
    </w:p>
    <w:p w:rsidR="00E54BDE" w:rsidRPr="00E54BDE" w:rsidRDefault="00E54BDE" w:rsidP="00E54BDE">
      <w:pPr>
        <w:shd w:val="clear" w:color="auto" w:fill="FFFFFF"/>
        <w:spacing w:after="0" w:line="264" w:lineRule="atLeast"/>
        <w:jc w:val="both"/>
        <w:textAlignment w:val="baseline"/>
        <w:outlineLvl w:val="0"/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</w:pPr>
      <w:r w:rsidRPr="00E54BDE"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>Base de données en temps réel et méta-analyse de 818 études COVID-19 </w:t>
      </w:r>
      <w:r w:rsidRPr="00E54BDE">
        <w:rPr>
          <w:rFonts w:ascii="Arial" w:eastAsia="Times New Roman" w:hAnsi="Arial" w:cs="Arial"/>
          <w:noProof/>
          <w:color w:val="2B2B2B"/>
          <w:kern w:val="36"/>
          <w:sz w:val="33"/>
          <w:szCs w:val="33"/>
          <w:lang w:eastAsia="fr-FR"/>
        </w:rPr>
        <mc:AlternateContent>
          <mc:Choice Requires="wps">
            <w:drawing>
              <wp:inline distT="0" distB="0" distL="0" distR="0" wp14:anchorId="0EF2351F" wp14:editId="7CECA619">
                <wp:extent cx="304800" cy="304800"/>
                <wp:effectExtent l="0" t="0" r="0" b="0"/>
                <wp:docPr id="12" name="AutoShape 13" descr="⬇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⬇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5GIdpygIAAMg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Pr="00E54BDE">
        <w:rPr>
          <w:rFonts w:ascii="Arial" w:eastAsia="Times New Roman" w:hAnsi="Arial" w:cs="Arial"/>
          <w:noProof/>
          <w:color w:val="2B2B2B"/>
          <w:kern w:val="36"/>
          <w:sz w:val="33"/>
          <w:szCs w:val="33"/>
          <w:lang w:eastAsia="fr-FR"/>
        </w:rPr>
        <mc:AlternateContent>
          <mc:Choice Requires="wps">
            <w:drawing>
              <wp:inline distT="0" distB="0" distL="0" distR="0" wp14:anchorId="1DAD03FF" wp14:editId="117F0B4E">
                <wp:extent cx="304800" cy="304800"/>
                <wp:effectExtent l="0" t="0" r="0" b="0"/>
                <wp:docPr id="11" name="AutoShape 14" descr="⬇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⬇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K8PelPJAgAAyA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hyperlink r:id="rId5" w:history="1">
        <w:r w:rsidRPr="00E54BDE">
          <w:rPr>
            <w:rFonts w:ascii="Arial" w:eastAsia="Times New Roman" w:hAnsi="Arial" w:cs="Arial"/>
            <w:color w:val="0000FF"/>
            <w:kern w:val="36"/>
            <w:sz w:val="33"/>
            <w:szCs w:val="33"/>
            <w:bdr w:val="none" w:sz="0" w:space="0" w:color="auto" w:frame="1"/>
            <w:lang w:eastAsia="fr-FR"/>
          </w:rPr>
          <w:t>https://c19early.com/</w:t>
        </w:r>
      </w:hyperlink>
    </w:p>
    <w:p w:rsidR="005173E0" w:rsidRDefault="00E54BDE">
      <w:r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 xml:space="preserve">Source : </w:t>
      </w:r>
      <w:hyperlink r:id="rId6" w:history="1">
        <w:r w:rsidRPr="004526CA">
          <w:rPr>
            <w:rStyle w:val="Lienhypertexte"/>
            <w:rFonts w:ascii="Arial" w:eastAsia="Times New Roman" w:hAnsi="Arial" w:cs="Arial"/>
            <w:kern w:val="36"/>
            <w:sz w:val="33"/>
            <w:szCs w:val="33"/>
            <w:lang w:eastAsia="fr-FR"/>
          </w:rPr>
          <w:t>www.1291.one/soins</w:t>
        </w:r>
      </w:hyperlink>
      <w:r>
        <w:rPr>
          <w:rFonts w:ascii="Arial" w:eastAsia="Times New Roman" w:hAnsi="Arial" w:cs="Arial"/>
          <w:color w:val="2B2B2B"/>
          <w:kern w:val="36"/>
          <w:sz w:val="33"/>
          <w:szCs w:val="33"/>
          <w:lang w:eastAsia="fr-FR"/>
        </w:rPr>
        <w:t xml:space="preserve"> </w:t>
      </w:r>
    </w:p>
    <w:sectPr w:rsidR="005173E0" w:rsidSect="00E54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DE"/>
    <w:rsid w:val="00205F95"/>
    <w:rsid w:val="003E2BE3"/>
    <w:rsid w:val="00E5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54B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54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1291.one/soins" TargetMode="External"/><Relationship Id="rId5" Type="http://schemas.openxmlformats.org/officeDocument/2006/relationships/hyperlink" Target="https://c19earl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2021-08-17T09:43:00Z</dcterms:created>
  <dcterms:modified xsi:type="dcterms:W3CDTF">2021-08-17T09:47:00Z</dcterms:modified>
</cp:coreProperties>
</file>